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195"/>
        <w:tblW w:w="0" w:type="auto"/>
        <w:tblLook w:val="04A0" w:firstRow="1" w:lastRow="0" w:firstColumn="1" w:lastColumn="0" w:noHBand="0" w:noVBand="1"/>
      </w:tblPr>
      <w:tblGrid>
        <w:gridCol w:w="2547"/>
        <w:gridCol w:w="2410"/>
        <w:gridCol w:w="2409"/>
        <w:gridCol w:w="1932"/>
        <w:gridCol w:w="2325"/>
        <w:gridCol w:w="2325"/>
      </w:tblGrid>
      <w:tr w:rsidR="00AE340F" w:rsidRPr="00F15B36" w:rsidTr="00AE340F">
        <w:tc>
          <w:tcPr>
            <w:tcW w:w="13948" w:type="dxa"/>
            <w:gridSpan w:val="6"/>
          </w:tcPr>
          <w:p w:rsidR="00AE340F" w:rsidRPr="005A17B3" w:rsidRDefault="00AE340F" w:rsidP="00AE340F">
            <w:pPr>
              <w:rPr>
                <w:rFonts w:ascii="Tahoma" w:hAnsi="Tahoma" w:cs="Tahoma"/>
                <w:sz w:val="20"/>
                <w:szCs w:val="20"/>
              </w:rPr>
            </w:pPr>
            <w:bookmarkStart w:id="0" w:name="_GoBack"/>
            <w:bookmarkEnd w:id="0"/>
            <w:r w:rsidRPr="005A17B3">
              <w:rPr>
                <w:rFonts w:ascii="Tahoma" w:hAnsi="Tahoma" w:cs="Tahoma"/>
                <w:sz w:val="20"/>
                <w:szCs w:val="20"/>
              </w:rPr>
              <w:t xml:space="preserve">The KS3/4 PSHE curriculum is delivered through weekly timetabled lessons and will cover a different theme each half term within the statutory RSHE guidance. Students can gain accreditation in PSHE on completion of the topic’s associated AQA PSHE Unit Award. </w:t>
            </w:r>
          </w:p>
          <w:p w:rsidR="00AE340F" w:rsidRPr="005A17B3" w:rsidRDefault="00AE340F" w:rsidP="00AE340F">
            <w:pPr>
              <w:rPr>
                <w:rFonts w:ascii="Tahoma" w:hAnsi="Tahoma" w:cs="Tahoma"/>
                <w:sz w:val="20"/>
                <w:szCs w:val="20"/>
              </w:rPr>
            </w:pPr>
          </w:p>
          <w:p w:rsidR="00AE340F" w:rsidRPr="005A17B3" w:rsidRDefault="00AE340F" w:rsidP="00AE340F">
            <w:pPr>
              <w:rPr>
                <w:rFonts w:ascii="Tahoma" w:hAnsi="Tahoma" w:cs="Tahoma"/>
                <w:sz w:val="20"/>
                <w:szCs w:val="20"/>
              </w:rPr>
            </w:pPr>
            <w:r w:rsidRPr="005A17B3">
              <w:rPr>
                <w:rFonts w:ascii="Tahoma" w:hAnsi="Tahoma" w:cs="Tahoma"/>
                <w:sz w:val="20"/>
                <w:szCs w:val="20"/>
              </w:rPr>
              <w:t xml:space="preserve">Students will gain practical knowledge and skills to help them live safe, confident, healthy and responsible lives. </w:t>
            </w:r>
          </w:p>
          <w:p w:rsidR="00AE340F" w:rsidRPr="005A17B3" w:rsidRDefault="00AE340F" w:rsidP="00AE340F">
            <w:pPr>
              <w:rPr>
                <w:rFonts w:ascii="Tahoma" w:hAnsi="Tahoma" w:cs="Tahoma"/>
                <w:sz w:val="20"/>
                <w:szCs w:val="20"/>
              </w:rPr>
            </w:pPr>
            <w:r w:rsidRPr="005A17B3">
              <w:rPr>
                <w:rFonts w:ascii="Tahoma" w:hAnsi="Tahoma" w:cs="Tahoma"/>
                <w:sz w:val="20"/>
                <w:szCs w:val="20"/>
              </w:rPr>
              <w:t>Students will study units across three core themes: health and wellbeing, relationships, and living in the wider world.</w:t>
            </w:r>
          </w:p>
          <w:p w:rsidR="00AE340F" w:rsidRPr="005A17B3" w:rsidRDefault="00AE340F" w:rsidP="00AE340F">
            <w:pPr>
              <w:pStyle w:val="NoSpacing"/>
              <w:rPr>
                <w:rFonts w:ascii="Tahoma" w:hAnsi="Tahoma" w:cs="Tahoma"/>
                <w:sz w:val="20"/>
                <w:szCs w:val="20"/>
              </w:rPr>
            </w:pPr>
          </w:p>
          <w:p w:rsidR="00AE340F" w:rsidRPr="005A17B3" w:rsidRDefault="00AE340F" w:rsidP="00AE340F">
            <w:pPr>
              <w:pStyle w:val="NoSpacing"/>
              <w:rPr>
                <w:rFonts w:ascii="Tahoma" w:hAnsi="Tahoma" w:cs="Tahoma"/>
                <w:sz w:val="20"/>
                <w:szCs w:val="20"/>
              </w:rPr>
            </w:pPr>
            <w:r w:rsidRPr="005A17B3">
              <w:rPr>
                <w:rFonts w:ascii="Tahoma" w:hAnsi="Tahoma" w:cs="Tahoma"/>
                <w:sz w:val="20"/>
                <w:szCs w:val="20"/>
              </w:rPr>
              <w:t>The following AQA PSHE Unit Awards at the student’s appropriate level will be offered as part of the three core themes:</w:t>
            </w:r>
          </w:p>
          <w:p w:rsidR="00AE340F" w:rsidRPr="005A17B3" w:rsidRDefault="00AE340F" w:rsidP="00AE340F">
            <w:pPr>
              <w:pStyle w:val="NoSpacing"/>
              <w:rPr>
                <w:rFonts w:ascii="Tahoma" w:eastAsia="Times New Roman" w:hAnsi="Tahoma" w:cs="Tahoma"/>
                <w:color w:val="000000"/>
                <w:sz w:val="20"/>
                <w:szCs w:val="20"/>
                <w:lang w:eastAsia="en-GB"/>
              </w:rPr>
            </w:pPr>
            <w:r w:rsidRPr="005A17B3">
              <w:rPr>
                <w:rFonts w:ascii="Tahoma" w:eastAsia="Times New Roman" w:hAnsi="Tahoma" w:cs="Tahoma"/>
                <w:color w:val="000000"/>
                <w:sz w:val="20"/>
                <w:szCs w:val="20"/>
                <w:lang w:eastAsia="en-GB"/>
              </w:rPr>
              <w:t>Health and Wellbeing – Healthy Lifestyles; Emotional Wellbeing; Drugs Education; Personal Safety</w:t>
            </w:r>
          </w:p>
          <w:p w:rsidR="00AE340F" w:rsidRPr="005A17B3" w:rsidRDefault="00AE340F" w:rsidP="00AE340F">
            <w:pPr>
              <w:rPr>
                <w:rFonts w:ascii="Tahoma" w:hAnsi="Tahoma" w:cs="Tahoma"/>
                <w:sz w:val="20"/>
                <w:szCs w:val="20"/>
              </w:rPr>
            </w:pPr>
            <w:r w:rsidRPr="005A17B3">
              <w:rPr>
                <w:rFonts w:ascii="Tahoma" w:hAnsi="Tahoma" w:cs="Tahoma"/>
                <w:sz w:val="20"/>
                <w:szCs w:val="20"/>
              </w:rPr>
              <w:t>Relationships – Sex and Relationship Education; Diversity, Prejudice &amp; Discrimination</w:t>
            </w:r>
          </w:p>
          <w:p w:rsidR="000F6C9C" w:rsidRPr="005A17B3" w:rsidRDefault="00AE340F" w:rsidP="000F6C9C">
            <w:pPr>
              <w:rPr>
                <w:rFonts w:ascii="Tahoma" w:hAnsi="Tahoma" w:cs="Tahoma"/>
                <w:sz w:val="20"/>
                <w:szCs w:val="20"/>
              </w:rPr>
            </w:pPr>
            <w:r w:rsidRPr="005A17B3">
              <w:rPr>
                <w:rFonts w:ascii="Tahoma" w:hAnsi="Tahoma" w:cs="Tahoma"/>
                <w:sz w:val="20"/>
                <w:szCs w:val="20"/>
              </w:rPr>
              <w:t>Living in the wider world –</w:t>
            </w:r>
            <w:r w:rsidR="000F6C9C" w:rsidRPr="005A17B3">
              <w:rPr>
                <w:rFonts w:ascii="Tahoma" w:hAnsi="Tahoma" w:cs="Tahoma"/>
                <w:sz w:val="20"/>
                <w:szCs w:val="20"/>
              </w:rPr>
              <w:t xml:space="preserve"> Personal Action Planning; Personal Finance; Making Informed Career Choices; Applying for Jobs and Courses; Relationships, Behaviour and Practises in the Workplace; Being a Critical Consumer</w:t>
            </w:r>
          </w:p>
          <w:p w:rsidR="00AE340F" w:rsidRPr="005A17B3" w:rsidRDefault="00AE340F" w:rsidP="00AE340F">
            <w:pPr>
              <w:rPr>
                <w:rFonts w:ascii="Tahoma" w:hAnsi="Tahoma" w:cs="Tahoma"/>
                <w:sz w:val="20"/>
                <w:szCs w:val="20"/>
              </w:rPr>
            </w:pPr>
          </w:p>
          <w:p w:rsidR="00AE340F" w:rsidRDefault="00AE340F" w:rsidP="00AE340F">
            <w:pPr>
              <w:rPr>
                <w:rFonts w:ascii="Tahoma" w:hAnsi="Tahoma" w:cs="Tahoma"/>
                <w:sz w:val="20"/>
                <w:szCs w:val="20"/>
              </w:rPr>
            </w:pPr>
            <w:r w:rsidRPr="005A17B3">
              <w:rPr>
                <w:rFonts w:ascii="Tahoma" w:hAnsi="Tahoma" w:cs="Tahoma"/>
                <w:sz w:val="20"/>
                <w:szCs w:val="20"/>
              </w:rPr>
              <w:t xml:space="preserve">This half term the focus is on Living in the wilder world </w:t>
            </w:r>
            <w:r w:rsidR="00B477DF" w:rsidRPr="005A17B3">
              <w:rPr>
                <w:rFonts w:ascii="Tahoma" w:hAnsi="Tahoma" w:cs="Tahoma"/>
                <w:sz w:val="20"/>
                <w:szCs w:val="20"/>
              </w:rPr>
              <w:t xml:space="preserve">cont.: </w:t>
            </w:r>
            <w:r w:rsidR="000F6C9C" w:rsidRPr="005A17B3">
              <w:rPr>
                <w:rFonts w:ascii="Tahoma" w:hAnsi="Tahoma" w:cs="Tahoma"/>
                <w:sz w:val="20"/>
                <w:szCs w:val="20"/>
              </w:rPr>
              <w:t>Personal Action Planning and Personal Finance</w:t>
            </w:r>
            <w:r w:rsidR="005A17B3">
              <w:rPr>
                <w:rFonts w:ascii="Tahoma" w:hAnsi="Tahoma" w:cs="Tahoma"/>
                <w:sz w:val="20"/>
                <w:szCs w:val="20"/>
              </w:rPr>
              <w:t xml:space="preserve">, </w:t>
            </w:r>
            <w:r w:rsidR="005A17B3" w:rsidRPr="00785356">
              <w:rPr>
                <w:rFonts w:ascii="Tahoma" w:hAnsi="Tahoma" w:cs="Tahoma"/>
                <w:sz w:val="20"/>
                <w:szCs w:val="20"/>
              </w:rPr>
              <w:t>including new statutory RSHE content</w:t>
            </w:r>
            <w:r w:rsidR="00413DBF">
              <w:rPr>
                <w:rFonts w:ascii="Tahoma" w:hAnsi="Tahoma" w:cs="Tahoma"/>
                <w:sz w:val="20"/>
                <w:szCs w:val="20"/>
              </w:rPr>
              <w:t xml:space="preserve"> </w:t>
            </w:r>
            <w:r w:rsidR="005A17B3">
              <w:rPr>
                <w:rFonts w:ascii="Tahoma" w:hAnsi="Tahoma" w:cs="Tahoma"/>
                <w:sz w:val="20"/>
                <w:szCs w:val="20"/>
              </w:rPr>
              <w:t>(indicated below)</w:t>
            </w:r>
          </w:p>
          <w:p w:rsidR="00CE6251" w:rsidRPr="00F15B36" w:rsidRDefault="00CE6251" w:rsidP="00AE340F">
            <w:pPr>
              <w:rPr>
                <w:rFonts w:ascii="Tahoma" w:hAnsi="Tahoma" w:cs="Tahoma"/>
              </w:rPr>
            </w:pPr>
          </w:p>
        </w:tc>
      </w:tr>
      <w:tr w:rsidR="00AE340F" w:rsidRPr="00F15B36" w:rsidTr="00856DFA">
        <w:tc>
          <w:tcPr>
            <w:tcW w:w="2547" w:type="dxa"/>
          </w:tcPr>
          <w:p w:rsidR="00AE340F" w:rsidRPr="005A17B3" w:rsidRDefault="00AE340F" w:rsidP="00AE340F">
            <w:pPr>
              <w:jc w:val="center"/>
              <w:rPr>
                <w:rFonts w:ascii="Tahoma" w:hAnsi="Tahoma" w:cs="Tahoma"/>
                <w:sz w:val="20"/>
                <w:szCs w:val="20"/>
              </w:rPr>
            </w:pPr>
            <w:r w:rsidRPr="005A17B3">
              <w:rPr>
                <w:rFonts w:ascii="Tahoma" w:hAnsi="Tahoma" w:cs="Tahoma"/>
                <w:sz w:val="20"/>
                <w:szCs w:val="20"/>
              </w:rPr>
              <w:t>Week 1</w:t>
            </w:r>
          </w:p>
        </w:tc>
        <w:tc>
          <w:tcPr>
            <w:tcW w:w="2410" w:type="dxa"/>
          </w:tcPr>
          <w:p w:rsidR="00AE340F" w:rsidRPr="005A17B3" w:rsidRDefault="00AE340F" w:rsidP="00AE340F">
            <w:pPr>
              <w:jc w:val="center"/>
              <w:rPr>
                <w:rFonts w:ascii="Tahoma" w:hAnsi="Tahoma" w:cs="Tahoma"/>
                <w:sz w:val="20"/>
                <w:szCs w:val="20"/>
              </w:rPr>
            </w:pPr>
            <w:r w:rsidRPr="005A17B3">
              <w:rPr>
                <w:rFonts w:ascii="Tahoma" w:hAnsi="Tahoma" w:cs="Tahoma"/>
                <w:sz w:val="20"/>
                <w:szCs w:val="20"/>
              </w:rPr>
              <w:t>Week 2</w:t>
            </w:r>
          </w:p>
        </w:tc>
        <w:tc>
          <w:tcPr>
            <w:tcW w:w="2409" w:type="dxa"/>
          </w:tcPr>
          <w:p w:rsidR="00AE340F" w:rsidRPr="005A17B3" w:rsidRDefault="00AE340F" w:rsidP="00AE340F">
            <w:pPr>
              <w:jc w:val="center"/>
              <w:rPr>
                <w:rFonts w:ascii="Tahoma" w:hAnsi="Tahoma" w:cs="Tahoma"/>
                <w:sz w:val="20"/>
                <w:szCs w:val="20"/>
              </w:rPr>
            </w:pPr>
            <w:r w:rsidRPr="005A17B3">
              <w:rPr>
                <w:rFonts w:ascii="Tahoma" w:hAnsi="Tahoma" w:cs="Tahoma"/>
                <w:sz w:val="20"/>
                <w:szCs w:val="20"/>
              </w:rPr>
              <w:t>Week 3</w:t>
            </w:r>
          </w:p>
        </w:tc>
        <w:tc>
          <w:tcPr>
            <w:tcW w:w="1932" w:type="dxa"/>
          </w:tcPr>
          <w:p w:rsidR="00AE340F" w:rsidRPr="005A17B3" w:rsidRDefault="00AE340F" w:rsidP="00AE340F">
            <w:pPr>
              <w:jc w:val="center"/>
              <w:rPr>
                <w:rFonts w:ascii="Tahoma" w:hAnsi="Tahoma" w:cs="Tahoma"/>
                <w:sz w:val="20"/>
                <w:szCs w:val="20"/>
              </w:rPr>
            </w:pPr>
            <w:r w:rsidRPr="005A17B3">
              <w:rPr>
                <w:rFonts w:ascii="Tahoma" w:hAnsi="Tahoma" w:cs="Tahoma"/>
                <w:sz w:val="20"/>
                <w:szCs w:val="20"/>
              </w:rPr>
              <w:t>Week 4</w:t>
            </w:r>
          </w:p>
        </w:tc>
        <w:tc>
          <w:tcPr>
            <w:tcW w:w="2325" w:type="dxa"/>
          </w:tcPr>
          <w:p w:rsidR="00AE340F" w:rsidRPr="005A17B3" w:rsidRDefault="00AE340F" w:rsidP="00AE340F">
            <w:pPr>
              <w:jc w:val="center"/>
              <w:rPr>
                <w:rFonts w:ascii="Tahoma" w:hAnsi="Tahoma" w:cs="Tahoma"/>
                <w:sz w:val="20"/>
                <w:szCs w:val="20"/>
              </w:rPr>
            </w:pPr>
            <w:r w:rsidRPr="005A17B3">
              <w:rPr>
                <w:rFonts w:ascii="Tahoma" w:hAnsi="Tahoma" w:cs="Tahoma"/>
                <w:sz w:val="20"/>
                <w:szCs w:val="20"/>
              </w:rPr>
              <w:t>Week 5</w:t>
            </w:r>
          </w:p>
        </w:tc>
        <w:tc>
          <w:tcPr>
            <w:tcW w:w="2325" w:type="dxa"/>
          </w:tcPr>
          <w:p w:rsidR="00AE340F" w:rsidRPr="005A17B3" w:rsidRDefault="00AE340F" w:rsidP="00AE340F">
            <w:pPr>
              <w:jc w:val="center"/>
              <w:rPr>
                <w:rFonts w:ascii="Tahoma" w:hAnsi="Tahoma" w:cs="Tahoma"/>
                <w:sz w:val="20"/>
                <w:szCs w:val="20"/>
              </w:rPr>
            </w:pPr>
            <w:r w:rsidRPr="005A17B3">
              <w:rPr>
                <w:rFonts w:ascii="Tahoma" w:hAnsi="Tahoma" w:cs="Tahoma"/>
                <w:sz w:val="20"/>
                <w:szCs w:val="20"/>
              </w:rPr>
              <w:t>Week 6</w:t>
            </w:r>
          </w:p>
        </w:tc>
      </w:tr>
      <w:tr w:rsidR="00AE340F" w:rsidRPr="00F15B36" w:rsidTr="00856DFA">
        <w:tc>
          <w:tcPr>
            <w:tcW w:w="2547" w:type="dxa"/>
          </w:tcPr>
          <w:p w:rsidR="00AE340F" w:rsidRPr="005A17B3" w:rsidRDefault="00AE340F" w:rsidP="00AE340F">
            <w:pPr>
              <w:rPr>
                <w:rFonts w:ascii="Tahoma" w:hAnsi="Tahoma" w:cs="Tahoma"/>
                <w:sz w:val="20"/>
                <w:szCs w:val="20"/>
              </w:rPr>
            </w:pPr>
          </w:p>
          <w:p w:rsidR="00AE340F" w:rsidRPr="00F66C77" w:rsidRDefault="000F6C9C" w:rsidP="00AE340F">
            <w:pPr>
              <w:rPr>
                <w:rFonts w:ascii="Tahoma" w:hAnsi="Tahoma" w:cs="Tahoma"/>
                <w:sz w:val="20"/>
                <w:szCs w:val="20"/>
                <w:u w:val="single"/>
              </w:rPr>
            </w:pPr>
            <w:r w:rsidRPr="00F66C77">
              <w:rPr>
                <w:rFonts w:ascii="Tahoma" w:hAnsi="Tahoma" w:cs="Tahoma"/>
                <w:sz w:val="20"/>
                <w:szCs w:val="20"/>
                <w:u w:val="single"/>
              </w:rPr>
              <w:t>Personal Action Planning</w:t>
            </w:r>
          </w:p>
          <w:p w:rsidR="00AE340F" w:rsidRPr="005A17B3" w:rsidRDefault="00AE340F" w:rsidP="00AE340F">
            <w:pPr>
              <w:rPr>
                <w:rFonts w:ascii="Tahoma" w:hAnsi="Tahoma" w:cs="Tahoma"/>
                <w:sz w:val="20"/>
                <w:szCs w:val="20"/>
              </w:rPr>
            </w:pPr>
          </w:p>
          <w:p w:rsidR="005A17B3" w:rsidRPr="005A17B3" w:rsidRDefault="005A17B3" w:rsidP="005A17B3">
            <w:pPr>
              <w:pStyle w:val="Compact"/>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Assessing skills/qualities</w:t>
            </w:r>
            <w:r w:rsidRPr="005A17B3">
              <w:rPr>
                <w:rFonts w:ascii="Tahoma" w:hAnsi="Tahoma" w:cs="Tahoma"/>
                <w:sz w:val="20"/>
                <w:szCs w:val="20"/>
              </w:rPr>
              <w:br/>
            </w:r>
          </w:p>
          <w:p w:rsidR="005A17B3" w:rsidRPr="005A17B3" w:rsidRDefault="005A17B3" w:rsidP="005A17B3">
            <w:pPr>
              <w:pStyle w:val="Compact"/>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Strengths and weaknesses</w:t>
            </w:r>
            <w:r w:rsidRPr="005A17B3">
              <w:rPr>
                <w:rFonts w:ascii="Tahoma" w:hAnsi="Tahoma" w:cs="Tahoma"/>
                <w:sz w:val="20"/>
                <w:szCs w:val="20"/>
              </w:rPr>
              <w:br/>
            </w:r>
          </w:p>
          <w:p w:rsidR="005A17B3" w:rsidRPr="005A17B3" w:rsidRDefault="005A17B3" w:rsidP="005A17B3">
            <w:pPr>
              <w:pStyle w:val="Compact"/>
              <w:rPr>
                <w:rFonts w:ascii="Tahoma" w:hAnsi="Tahoma" w:cs="Tahoma"/>
                <w:sz w:val="20"/>
                <w:szCs w:val="20"/>
                <w:lang w:val="en-GB"/>
              </w:rPr>
            </w:pPr>
            <w:r>
              <w:rPr>
                <w:rFonts w:ascii="Tahoma" w:hAnsi="Tahoma" w:cs="Tahoma"/>
                <w:sz w:val="20"/>
                <w:szCs w:val="20"/>
                <w:lang w:val="en-GB"/>
              </w:rPr>
              <w:t xml:space="preserve">- </w:t>
            </w:r>
            <w:r w:rsidRPr="005A17B3">
              <w:rPr>
                <w:rFonts w:ascii="Tahoma" w:hAnsi="Tahoma" w:cs="Tahoma"/>
                <w:sz w:val="20"/>
                <w:szCs w:val="20"/>
                <w:lang w:val="en-GB"/>
              </w:rPr>
              <w:t>Prioritising</w:t>
            </w:r>
            <w:r w:rsidRPr="005A17B3">
              <w:rPr>
                <w:rFonts w:ascii="Tahoma" w:hAnsi="Tahoma" w:cs="Tahoma"/>
                <w:sz w:val="20"/>
                <w:szCs w:val="20"/>
              </w:rPr>
              <w:t xml:space="preserve"> areas for improvement</w:t>
            </w:r>
          </w:p>
          <w:p w:rsidR="00856DFA" w:rsidRPr="005A17B3" w:rsidRDefault="00856DFA" w:rsidP="005A17B3">
            <w:pPr>
              <w:rPr>
                <w:rFonts w:ascii="Tahoma" w:hAnsi="Tahoma" w:cs="Tahoma"/>
                <w:sz w:val="20"/>
                <w:szCs w:val="20"/>
              </w:rPr>
            </w:pPr>
          </w:p>
        </w:tc>
        <w:tc>
          <w:tcPr>
            <w:tcW w:w="2410" w:type="dxa"/>
          </w:tcPr>
          <w:p w:rsidR="00AE340F" w:rsidRPr="005A17B3" w:rsidRDefault="00AE340F" w:rsidP="00AE340F">
            <w:pPr>
              <w:rPr>
                <w:rFonts w:ascii="Tahoma" w:hAnsi="Tahoma" w:cs="Tahoma"/>
                <w:sz w:val="20"/>
                <w:szCs w:val="20"/>
              </w:rPr>
            </w:pPr>
          </w:p>
          <w:p w:rsidR="000F6C9C" w:rsidRPr="00F66C77" w:rsidRDefault="000F6C9C" w:rsidP="005A17B3">
            <w:pPr>
              <w:pStyle w:val="NoSpacing"/>
              <w:rPr>
                <w:rFonts w:ascii="Tahoma" w:hAnsi="Tahoma" w:cs="Tahoma"/>
                <w:sz w:val="20"/>
                <w:szCs w:val="20"/>
                <w:u w:val="single"/>
              </w:rPr>
            </w:pPr>
            <w:r w:rsidRPr="00F66C77">
              <w:rPr>
                <w:rFonts w:ascii="Tahoma" w:hAnsi="Tahoma" w:cs="Tahoma"/>
                <w:sz w:val="20"/>
                <w:szCs w:val="20"/>
                <w:u w:val="single"/>
              </w:rPr>
              <w:t>Personal Action Planning</w:t>
            </w:r>
          </w:p>
          <w:p w:rsidR="005A17B3" w:rsidRPr="005A17B3" w:rsidRDefault="005A17B3" w:rsidP="005A17B3">
            <w:pPr>
              <w:pStyle w:val="NoSpacing"/>
              <w:rPr>
                <w:rFonts w:ascii="Tahoma" w:hAnsi="Tahoma" w:cs="Tahoma"/>
                <w:bCs/>
                <w:sz w:val="20"/>
                <w:szCs w:val="20"/>
              </w:rPr>
            </w:pPr>
          </w:p>
          <w:p w:rsidR="005A17B3" w:rsidRDefault="005A17B3" w:rsidP="005A17B3">
            <w:pPr>
              <w:pStyle w:val="NoSpacing"/>
              <w:rPr>
                <w:rFonts w:ascii="Tahoma" w:hAnsi="Tahoma" w:cs="Tahoma"/>
                <w:bCs/>
                <w:sz w:val="20"/>
                <w:szCs w:val="20"/>
              </w:rPr>
            </w:pPr>
            <w:r w:rsidRPr="005A17B3">
              <w:rPr>
                <w:rFonts w:ascii="Tahoma" w:hAnsi="Tahoma" w:cs="Tahoma"/>
                <w:bCs/>
                <w:sz w:val="20"/>
                <w:szCs w:val="20"/>
              </w:rPr>
              <w:t>Employability Skills</w:t>
            </w:r>
          </w:p>
          <w:p w:rsidR="005A17B3" w:rsidRPr="005A17B3" w:rsidRDefault="005A17B3" w:rsidP="005A17B3">
            <w:pPr>
              <w:pStyle w:val="NoSpacing"/>
              <w:rPr>
                <w:rFonts w:ascii="Tahoma" w:hAnsi="Tahoma" w:cs="Tahoma"/>
                <w:sz w:val="20"/>
                <w:szCs w:val="20"/>
              </w:rPr>
            </w:pPr>
          </w:p>
          <w:p w:rsidR="005A17B3" w:rsidRDefault="005A17B3" w:rsidP="005A17B3">
            <w:pPr>
              <w:pStyle w:val="NoSpacing"/>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Skills important to employers</w:t>
            </w:r>
            <w:r w:rsidRPr="005A17B3">
              <w:rPr>
                <w:rFonts w:ascii="Tahoma" w:hAnsi="Tahoma" w:cs="Tahoma"/>
                <w:sz w:val="20"/>
                <w:szCs w:val="20"/>
              </w:rPr>
              <w:br/>
            </w:r>
          </w:p>
          <w:p w:rsidR="005A17B3" w:rsidRPr="005A17B3" w:rsidRDefault="005A17B3" w:rsidP="005A17B3">
            <w:pPr>
              <w:pStyle w:val="NoSpacing"/>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Identifying improvement targets</w:t>
            </w:r>
          </w:p>
          <w:p w:rsidR="00805A99" w:rsidRPr="005A17B3" w:rsidRDefault="00805A99" w:rsidP="00AE340F">
            <w:pPr>
              <w:rPr>
                <w:rFonts w:ascii="Tahoma" w:hAnsi="Tahoma" w:cs="Tahoma"/>
                <w:sz w:val="20"/>
                <w:szCs w:val="20"/>
                <w:shd w:val="clear" w:color="auto" w:fill="FFFFFF"/>
              </w:rPr>
            </w:pPr>
          </w:p>
        </w:tc>
        <w:tc>
          <w:tcPr>
            <w:tcW w:w="2409" w:type="dxa"/>
          </w:tcPr>
          <w:p w:rsidR="00AE340F" w:rsidRPr="005A17B3" w:rsidRDefault="00AE340F" w:rsidP="00AE340F">
            <w:pPr>
              <w:pStyle w:val="Default"/>
              <w:rPr>
                <w:rFonts w:ascii="Tahoma" w:hAnsi="Tahoma" w:cs="Tahoma"/>
                <w:color w:val="auto"/>
                <w:sz w:val="20"/>
                <w:szCs w:val="20"/>
              </w:rPr>
            </w:pPr>
          </w:p>
          <w:p w:rsidR="000F6C9C" w:rsidRPr="00F66C77" w:rsidRDefault="000F6C9C" w:rsidP="005A17B3">
            <w:pPr>
              <w:pStyle w:val="NoSpacing"/>
              <w:rPr>
                <w:rFonts w:ascii="Tahoma" w:hAnsi="Tahoma" w:cs="Tahoma"/>
                <w:sz w:val="20"/>
                <w:szCs w:val="20"/>
                <w:u w:val="single"/>
              </w:rPr>
            </w:pPr>
            <w:r w:rsidRPr="00F66C77">
              <w:rPr>
                <w:rFonts w:ascii="Tahoma" w:hAnsi="Tahoma" w:cs="Tahoma"/>
                <w:sz w:val="20"/>
                <w:szCs w:val="20"/>
                <w:u w:val="single"/>
              </w:rPr>
              <w:t>Personal Action Planning</w:t>
            </w:r>
          </w:p>
          <w:p w:rsidR="005A17B3" w:rsidRDefault="005A17B3" w:rsidP="005A17B3">
            <w:pPr>
              <w:pStyle w:val="NoSpacing"/>
              <w:rPr>
                <w:rFonts w:ascii="Tahoma" w:hAnsi="Tahoma" w:cs="Tahoma"/>
                <w:bCs/>
                <w:sz w:val="20"/>
                <w:szCs w:val="20"/>
              </w:rPr>
            </w:pPr>
          </w:p>
          <w:p w:rsidR="005A17B3" w:rsidRPr="005A17B3" w:rsidRDefault="005A17B3" w:rsidP="005A17B3">
            <w:pPr>
              <w:pStyle w:val="NoSpacing"/>
              <w:rPr>
                <w:rFonts w:ascii="Tahoma" w:hAnsi="Tahoma" w:cs="Tahoma"/>
                <w:bCs/>
                <w:sz w:val="20"/>
                <w:szCs w:val="20"/>
              </w:rPr>
            </w:pPr>
            <w:r w:rsidRPr="005A17B3">
              <w:rPr>
                <w:rFonts w:ascii="Tahoma" w:hAnsi="Tahoma" w:cs="Tahoma"/>
                <w:bCs/>
                <w:sz w:val="20"/>
                <w:szCs w:val="20"/>
              </w:rPr>
              <w:t>SMART Action Plan</w:t>
            </w:r>
          </w:p>
          <w:p w:rsidR="005A17B3" w:rsidRPr="005A17B3" w:rsidRDefault="005A17B3" w:rsidP="005A17B3">
            <w:pPr>
              <w:pStyle w:val="NoSpacing"/>
              <w:rPr>
                <w:rFonts w:ascii="Tahoma" w:hAnsi="Tahoma" w:cs="Tahoma"/>
                <w:sz w:val="20"/>
                <w:szCs w:val="20"/>
              </w:rPr>
            </w:pPr>
          </w:p>
          <w:p w:rsidR="005A17B3" w:rsidRPr="005A17B3" w:rsidRDefault="005A17B3" w:rsidP="005A17B3">
            <w:pPr>
              <w:pStyle w:val="NoSpacing"/>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Writing and reviewing SMART targets</w:t>
            </w:r>
            <w:r w:rsidRPr="005A17B3">
              <w:rPr>
                <w:rFonts w:ascii="Tahoma" w:hAnsi="Tahoma" w:cs="Tahoma"/>
                <w:sz w:val="20"/>
                <w:szCs w:val="20"/>
              </w:rPr>
              <w:br/>
            </w:r>
          </w:p>
          <w:p w:rsidR="005A17B3" w:rsidRPr="005A17B3" w:rsidRDefault="005A17B3" w:rsidP="005A17B3">
            <w:pPr>
              <w:pStyle w:val="NoSpacing"/>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Importance of self-awareness</w:t>
            </w:r>
          </w:p>
          <w:p w:rsidR="00856DFA" w:rsidRPr="005A17B3" w:rsidRDefault="00856DFA" w:rsidP="00AE340F">
            <w:pPr>
              <w:rPr>
                <w:rFonts w:ascii="Tahoma" w:hAnsi="Tahoma" w:cs="Tahoma"/>
                <w:sz w:val="20"/>
                <w:szCs w:val="20"/>
                <w:shd w:val="clear" w:color="auto" w:fill="FFFFFF"/>
              </w:rPr>
            </w:pPr>
          </w:p>
        </w:tc>
        <w:tc>
          <w:tcPr>
            <w:tcW w:w="1932" w:type="dxa"/>
          </w:tcPr>
          <w:p w:rsidR="00AE340F" w:rsidRPr="005A17B3" w:rsidRDefault="00AE340F" w:rsidP="00AE340F">
            <w:pPr>
              <w:pStyle w:val="Default"/>
              <w:rPr>
                <w:rFonts w:ascii="Tahoma" w:hAnsi="Tahoma" w:cs="Tahoma"/>
                <w:sz w:val="20"/>
                <w:szCs w:val="20"/>
              </w:rPr>
            </w:pPr>
          </w:p>
          <w:p w:rsidR="00AE340F" w:rsidRPr="00F66C77" w:rsidRDefault="000F6C9C" w:rsidP="005A17B3">
            <w:pPr>
              <w:pStyle w:val="NoSpacing"/>
              <w:rPr>
                <w:rFonts w:ascii="Tahoma" w:hAnsi="Tahoma" w:cs="Tahoma"/>
                <w:sz w:val="20"/>
                <w:szCs w:val="20"/>
                <w:u w:val="single"/>
              </w:rPr>
            </w:pPr>
            <w:r w:rsidRPr="00F66C77">
              <w:rPr>
                <w:rFonts w:ascii="Tahoma" w:hAnsi="Tahoma" w:cs="Tahoma"/>
                <w:sz w:val="20"/>
                <w:szCs w:val="20"/>
                <w:u w:val="single"/>
              </w:rPr>
              <w:t>Personal Finance</w:t>
            </w:r>
          </w:p>
          <w:p w:rsidR="005A17B3" w:rsidRDefault="005A17B3" w:rsidP="005A17B3">
            <w:pPr>
              <w:pStyle w:val="NoSpacing"/>
            </w:pPr>
          </w:p>
          <w:p w:rsidR="005A17B3" w:rsidRPr="005A17B3" w:rsidRDefault="005A17B3" w:rsidP="005A17B3">
            <w:pPr>
              <w:pStyle w:val="NoSpacing"/>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Services from banks/savings institutions</w:t>
            </w:r>
            <w:r w:rsidRPr="005A17B3">
              <w:rPr>
                <w:rFonts w:ascii="Tahoma" w:hAnsi="Tahoma" w:cs="Tahoma"/>
                <w:sz w:val="20"/>
                <w:szCs w:val="20"/>
              </w:rPr>
              <w:br/>
            </w:r>
          </w:p>
          <w:p w:rsidR="005A17B3" w:rsidRPr="005A17B3" w:rsidRDefault="005A17B3" w:rsidP="005A17B3">
            <w:pPr>
              <w:pStyle w:val="NoSpacing"/>
              <w:rPr>
                <w:rFonts w:ascii="Tahoma" w:hAnsi="Tahoma" w:cs="Tahoma"/>
                <w:sz w:val="20"/>
                <w:szCs w:val="20"/>
              </w:rPr>
            </w:pPr>
            <w:r>
              <w:rPr>
                <w:rFonts w:ascii="Tahoma" w:hAnsi="Tahoma" w:cs="Tahoma"/>
                <w:sz w:val="20"/>
                <w:szCs w:val="20"/>
              </w:rPr>
              <w:t xml:space="preserve">- </w:t>
            </w:r>
            <w:r w:rsidRPr="005A17B3">
              <w:rPr>
                <w:rFonts w:ascii="Tahoma" w:hAnsi="Tahoma" w:cs="Tahoma"/>
                <w:sz w:val="20"/>
                <w:szCs w:val="20"/>
              </w:rPr>
              <w:t>Reading bank statements</w:t>
            </w:r>
            <w:r w:rsidRPr="005A17B3">
              <w:rPr>
                <w:rFonts w:ascii="Tahoma" w:hAnsi="Tahoma" w:cs="Tahoma"/>
                <w:sz w:val="20"/>
                <w:szCs w:val="20"/>
              </w:rPr>
              <w:br/>
            </w:r>
          </w:p>
          <w:p w:rsidR="005A17B3" w:rsidRPr="005A17B3" w:rsidRDefault="005A17B3" w:rsidP="005A17B3">
            <w:pPr>
              <w:pStyle w:val="NoSpacing"/>
              <w:rPr>
                <w:rFonts w:ascii="Tahoma" w:hAnsi="Tahoma" w:cs="Tahoma"/>
                <w:sz w:val="20"/>
                <w:szCs w:val="20"/>
              </w:rPr>
            </w:pPr>
            <w:r>
              <w:rPr>
                <w:rFonts w:ascii="Tahoma" w:hAnsi="Tahoma" w:cs="Tahoma"/>
                <w:bCs/>
                <w:sz w:val="20"/>
                <w:szCs w:val="20"/>
              </w:rPr>
              <w:t xml:space="preserve">- </w:t>
            </w:r>
            <w:r w:rsidRPr="005A17B3">
              <w:rPr>
                <w:rFonts w:ascii="Tahoma" w:hAnsi="Tahoma" w:cs="Tahoma"/>
                <w:bCs/>
                <w:sz w:val="20"/>
                <w:szCs w:val="20"/>
              </w:rPr>
              <w:t>Recognising financial exploitation</w:t>
            </w:r>
            <w:r w:rsidR="00317243">
              <w:rPr>
                <w:rFonts w:ascii="Tahoma" w:hAnsi="Tahoma" w:cs="Tahoma"/>
                <w:bCs/>
                <w:sz w:val="20"/>
                <w:szCs w:val="20"/>
              </w:rPr>
              <w:t xml:space="preserve">: </w:t>
            </w:r>
            <w:r w:rsidRPr="005A17B3">
              <w:rPr>
                <w:rFonts w:ascii="Tahoma" w:hAnsi="Tahoma" w:cs="Tahoma"/>
                <w:bCs/>
                <w:sz w:val="20"/>
                <w:szCs w:val="20"/>
              </w:rPr>
              <w:t>how young people are targeted (N</w:t>
            </w:r>
            <w:r>
              <w:rPr>
                <w:rFonts w:ascii="Tahoma" w:hAnsi="Tahoma" w:cs="Tahoma"/>
                <w:bCs/>
                <w:sz w:val="20"/>
                <w:szCs w:val="20"/>
              </w:rPr>
              <w:t>ew</w:t>
            </w:r>
            <w:r w:rsidR="00CE6251">
              <w:rPr>
                <w:rFonts w:ascii="Tahoma" w:hAnsi="Tahoma" w:cs="Tahoma"/>
                <w:bCs/>
                <w:sz w:val="20"/>
                <w:szCs w:val="20"/>
              </w:rPr>
              <w:t>)</w:t>
            </w:r>
          </w:p>
          <w:p w:rsidR="00306755" w:rsidRPr="005A17B3" w:rsidRDefault="00306755" w:rsidP="005A17B3">
            <w:pPr>
              <w:autoSpaceDE w:val="0"/>
              <w:autoSpaceDN w:val="0"/>
              <w:adjustRightInd w:val="0"/>
              <w:rPr>
                <w:rFonts w:ascii="Tahoma" w:hAnsi="Tahoma" w:cs="Tahoma"/>
                <w:sz w:val="20"/>
                <w:szCs w:val="20"/>
                <w:lang w:val="en-US"/>
              </w:rPr>
            </w:pPr>
          </w:p>
        </w:tc>
        <w:tc>
          <w:tcPr>
            <w:tcW w:w="2325" w:type="dxa"/>
          </w:tcPr>
          <w:p w:rsidR="00AE340F" w:rsidRPr="005A17B3" w:rsidRDefault="00AE340F" w:rsidP="00AE340F">
            <w:pPr>
              <w:pStyle w:val="Default"/>
              <w:rPr>
                <w:rFonts w:ascii="Tahoma" w:hAnsi="Tahoma" w:cs="Tahoma"/>
                <w:sz w:val="20"/>
                <w:szCs w:val="20"/>
              </w:rPr>
            </w:pPr>
          </w:p>
          <w:p w:rsidR="000F6C9C" w:rsidRPr="00F66C77" w:rsidRDefault="000F6C9C" w:rsidP="00CE6251">
            <w:pPr>
              <w:pStyle w:val="NoSpacing"/>
              <w:rPr>
                <w:rFonts w:ascii="Tahoma" w:hAnsi="Tahoma" w:cs="Tahoma"/>
                <w:sz w:val="20"/>
                <w:szCs w:val="20"/>
                <w:u w:val="single"/>
              </w:rPr>
            </w:pPr>
            <w:r w:rsidRPr="00F66C77">
              <w:rPr>
                <w:rFonts w:ascii="Tahoma" w:hAnsi="Tahoma" w:cs="Tahoma"/>
                <w:sz w:val="20"/>
                <w:szCs w:val="20"/>
                <w:u w:val="single"/>
              </w:rPr>
              <w:t>Personal Finance</w:t>
            </w:r>
          </w:p>
          <w:p w:rsidR="00306755" w:rsidRPr="00CE6251" w:rsidRDefault="00306755" w:rsidP="00CE6251">
            <w:pPr>
              <w:pStyle w:val="NoSpacing"/>
              <w:rPr>
                <w:rFonts w:ascii="Tahoma" w:hAnsi="Tahoma" w:cs="Tahoma"/>
                <w:sz w:val="20"/>
                <w:szCs w:val="20"/>
              </w:rPr>
            </w:pPr>
          </w:p>
          <w:p w:rsidR="005A17B3" w:rsidRPr="00CE6251" w:rsidRDefault="005A17B3" w:rsidP="00CE6251">
            <w:pPr>
              <w:pStyle w:val="NoSpacing"/>
              <w:rPr>
                <w:rFonts w:ascii="Tahoma" w:hAnsi="Tahoma" w:cs="Tahoma"/>
                <w:sz w:val="20"/>
                <w:szCs w:val="20"/>
              </w:rPr>
            </w:pPr>
            <w:r w:rsidRPr="00CE6251">
              <w:rPr>
                <w:rFonts w:ascii="Tahoma" w:hAnsi="Tahoma" w:cs="Tahoma"/>
                <w:bCs/>
                <w:sz w:val="20"/>
                <w:szCs w:val="20"/>
              </w:rPr>
              <w:t>Income &amp; Budgeting</w:t>
            </w:r>
          </w:p>
          <w:p w:rsidR="00CE6251" w:rsidRPr="00CE6251" w:rsidRDefault="00CE6251" w:rsidP="00CE6251">
            <w:pPr>
              <w:pStyle w:val="NoSpacing"/>
              <w:rPr>
                <w:rFonts w:ascii="Tahoma" w:hAnsi="Tahoma" w:cs="Tahoma"/>
                <w:sz w:val="20"/>
                <w:szCs w:val="20"/>
              </w:rPr>
            </w:pPr>
          </w:p>
          <w:p w:rsidR="005A17B3" w:rsidRPr="00CE6251" w:rsidRDefault="00CE6251" w:rsidP="00CE6251">
            <w:pPr>
              <w:pStyle w:val="NoSpacing"/>
              <w:rPr>
                <w:rFonts w:ascii="Tahoma" w:hAnsi="Tahoma" w:cs="Tahoma"/>
                <w:sz w:val="20"/>
                <w:szCs w:val="20"/>
              </w:rPr>
            </w:pPr>
            <w:r w:rsidRPr="00CE6251">
              <w:rPr>
                <w:rFonts w:ascii="Tahoma" w:hAnsi="Tahoma" w:cs="Tahoma"/>
                <w:sz w:val="20"/>
                <w:szCs w:val="20"/>
              </w:rPr>
              <w:t>-</w:t>
            </w:r>
            <w:r>
              <w:rPr>
                <w:rFonts w:ascii="Tahoma" w:hAnsi="Tahoma" w:cs="Tahoma"/>
                <w:sz w:val="20"/>
                <w:szCs w:val="20"/>
              </w:rPr>
              <w:t xml:space="preserve"> </w:t>
            </w:r>
            <w:r w:rsidR="005A17B3" w:rsidRPr="00CE6251">
              <w:rPr>
                <w:rFonts w:ascii="Tahoma" w:hAnsi="Tahoma" w:cs="Tahoma"/>
                <w:sz w:val="20"/>
                <w:szCs w:val="20"/>
              </w:rPr>
              <w:t>Payslips</w:t>
            </w:r>
            <w:r w:rsidR="005A17B3" w:rsidRPr="00CE6251">
              <w:rPr>
                <w:rFonts w:ascii="Tahoma" w:hAnsi="Tahoma" w:cs="Tahoma"/>
                <w:sz w:val="20"/>
                <w:szCs w:val="20"/>
              </w:rPr>
              <w:br/>
            </w:r>
          </w:p>
          <w:p w:rsidR="005A17B3" w:rsidRPr="00CE6251" w:rsidRDefault="00CE6251" w:rsidP="00CE6251">
            <w:pPr>
              <w:pStyle w:val="NoSpacing"/>
              <w:rPr>
                <w:rFonts w:ascii="Tahoma" w:hAnsi="Tahoma" w:cs="Tahoma"/>
                <w:sz w:val="20"/>
                <w:szCs w:val="20"/>
              </w:rPr>
            </w:pPr>
            <w:r w:rsidRPr="00CE6251">
              <w:rPr>
                <w:rFonts w:ascii="Tahoma" w:hAnsi="Tahoma" w:cs="Tahoma"/>
                <w:sz w:val="20"/>
                <w:szCs w:val="20"/>
              </w:rPr>
              <w:t>-</w:t>
            </w:r>
            <w:r>
              <w:rPr>
                <w:rFonts w:ascii="Tahoma" w:hAnsi="Tahoma" w:cs="Tahoma"/>
                <w:sz w:val="20"/>
                <w:szCs w:val="20"/>
              </w:rPr>
              <w:t xml:space="preserve"> </w:t>
            </w:r>
            <w:r w:rsidR="005A17B3" w:rsidRPr="00CE6251">
              <w:rPr>
                <w:rFonts w:ascii="Tahoma" w:hAnsi="Tahoma" w:cs="Tahoma"/>
                <w:sz w:val="20"/>
                <w:szCs w:val="20"/>
              </w:rPr>
              <w:t>Budgeting</w:t>
            </w:r>
            <w:r w:rsidR="005A17B3" w:rsidRPr="00CE6251">
              <w:rPr>
                <w:rFonts w:ascii="Tahoma" w:hAnsi="Tahoma" w:cs="Tahoma"/>
                <w:sz w:val="20"/>
                <w:szCs w:val="20"/>
              </w:rPr>
              <w:br/>
            </w:r>
          </w:p>
          <w:p w:rsidR="005A17B3" w:rsidRPr="00CE6251" w:rsidRDefault="00CE6251" w:rsidP="00CE6251">
            <w:pPr>
              <w:pStyle w:val="NoSpacing"/>
              <w:rPr>
                <w:rFonts w:ascii="Tahoma" w:hAnsi="Tahoma" w:cs="Tahoma"/>
                <w:sz w:val="20"/>
                <w:szCs w:val="20"/>
              </w:rPr>
            </w:pPr>
            <w:r w:rsidRPr="00CE6251">
              <w:rPr>
                <w:rFonts w:ascii="Tahoma" w:hAnsi="Tahoma" w:cs="Tahoma"/>
                <w:sz w:val="20"/>
                <w:szCs w:val="20"/>
              </w:rPr>
              <w:t>-</w:t>
            </w:r>
            <w:r>
              <w:rPr>
                <w:rFonts w:ascii="Tahoma" w:hAnsi="Tahoma" w:cs="Tahoma"/>
                <w:sz w:val="20"/>
                <w:szCs w:val="20"/>
              </w:rPr>
              <w:t xml:space="preserve"> </w:t>
            </w:r>
            <w:r w:rsidR="005A17B3" w:rsidRPr="00CE6251">
              <w:rPr>
                <w:rFonts w:ascii="Tahoma" w:hAnsi="Tahoma" w:cs="Tahoma"/>
                <w:sz w:val="20"/>
                <w:szCs w:val="20"/>
              </w:rPr>
              <w:t>Importance of pension planning</w:t>
            </w:r>
            <w:r w:rsidR="005A17B3" w:rsidRPr="00CE6251">
              <w:rPr>
                <w:rFonts w:ascii="Tahoma" w:hAnsi="Tahoma" w:cs="Tahoma"/>
                <w:sz w:val="20"/>
                <w:szCs w:val="20"/>
              </w:rPr>
              <w:br/>
            </w:r>
          </w:p>
          <w:p w:rsidR="005A17B3" w:rsidRPr="00CE6251" w:rsidRDefault="00CE6251" w:rsidP="00CE6251">
            <w:pPr>
              <w:pStyle w:val="NoSpacing"/>
              <w:rPr>
                <w:rFonts w:ascii="Tahoma" w:hAnsi="Tahoma" w:cs="Tahoma"/>
                <w:sz w:val="20"/>
                <w:szCs w:val="20"/>
              </w:rPr>
            </w:pPr>
            <w:r w:rsidRPr="00CE6251">
              <w:rPr>
                <w:rFonts w:ascii="Tahoma" w:hAnsi="Tahoma" w:cs="Tahoma"/>
                <w:bCs/>
                <w:sz w:val="20"/>
                <w:szCs w:val="20"/>
              </w:rPr>
              <w:t>-</w:t>
            </w:r>
            <w:r>
              <w:rPr>
                <w:rFonts w:ascii="Tahoma" w:hAnsi="Tahoma" w:cs="Tahoma"/>
                <w:bCs/>
                <w:sz w:val="20"/>
                <w:szCs w:val="20"/>
              </w:rPr>
              <w:t xml:space="preserve"> </w:t>
            </w:r>
            <w:r w:rsidR="005A17B3" w:rsidRPr="00CE6251">
              <w:rPr>
                <w:rFonts w:ascii="Tahoma" w:hAnsi="Tahoma" w:cs="Tahoma"/>
                <w:bCs/>
                <w:sz w:val="20"/>
                <w:szCs w:val="20"/>
              </w:rPr>
              <w:t>Introduction to gambling risks (N</w:t>
            </w:r>
            <w:r>
              <w:rPr>
                <w:rFonts w:ascii="Tahoma" w:hAnsi="Tahoma" w:cs="Tahoma"/>
                <w:bCs/>
                <w:sz w:val="20"/>
                <w:szCs w:val="20"/>
              </w:rPr>
              <w:t>ew</w:t>
            </w:r>
            <w:r w:rsidR="005A17B3" w:rsidRPr="00CE6251">
              <w:rPr>
                <w:rFonts w:ascii="Tahoma" w:hAnsi="Tahoma" w:cs="Tahoma"/>
                <w:bCs/>
                <w:sz w:val="20"/>
                <w:szCs w:val="20"/>
              </w:rPr>
              <w:t>)</w:t>
            </w:r>
          </w:p>
          <w:p w:rsidR="00AE340F" w:rsidRPr="005A17B3" w:rsidRDefault="00AE340F" w:rsidP="00AE340F">
            <w:pPr>
              <w:pStyle w:val="Default"/>
              <w:rPr>
                <w:rFonts w:ascii="Tahoma" w:hAnsi="Tahoma" w:cs="Tahoma"/>
                <w:sz w:val="20"/>
                <w:szCs w:val="20"/>
                <w:lang w:val="en-US"/>
              </w:rPr>
            </w:pPr>
          </w:p>
          <w:p w:rsidR="00AE340F" w:rsidRPr="00CE6251" w:rsidRDefault="00AE340F" w:rsidP="00AE340F">
            <w:pPr>
              <w:pStyle w:val="TableParagraph"/>
              <w:spacing w:before="62" w:line="206" w:lineRule="auto"/>
              <w:ind w:left="0" w:right="229"/>
              <w:rPr>
                <w:rFonts w:ascii="Tahoma" w:hAnsi="Tahoma" w:cs="Tahoma"/>
                <w:sz w:val="20"/>
                <w:szCs w:val="20"/>
                <w:lang w:val="en-US"/>
              </w:rPr>
            </w:pPr>
          </w:p>
        </w:tc>
        <w:tc>
          <w:tcPr>
            <w:tcW w:w="2325" w:type="dxa"/>
          </w:tcPr>
          <w:p w:rsidR="00AE340F" w:rsidRPr="005A17B3" w:rsidRDefault="00AE340F" w:rsidP="00AE340F">
            <w:pPr>
              <w:pStyle w:val="Default"/>
              <w:rPr>
                <w:rFonts w:ascii="Tahoma" w:hAnsi="Tahoma" w:cs="Tahoma"/>
                <w:sz w:val="20"/>
                <w:szCs w:val="20"/>
              </w:rPr>
            </w:pPr>
          </w:p>
          <w:p w:rsidR="000F6C9C" w:rsidRPr="00F66C77" w:rsidRDefault="000F6C9C" w:rsidP="000F6C9C">
            <w:pPr>
              <w:pStyle w:val="Default"/>
              <w:rPr>
                <w:rFonts w:ascii="Tahoma" w:hAnsi="Tahoma" w:cs="Tahoma"/>
                <w:sz w:val="20"/>
                <w:szCs w:val="20"/>
                <w:u w:val="single"/>
              </w:rPr>
            </w:pPr>
            <w:r w:rsidRPr="00F66C77">
              <w:rPr>
                <w:rFonts w:ascii="Tahoma" w:hAnsi="Tahoma" w:cs="Tahoma"/>
                <w:sz w:val="20"/>
                <w:szCs w:val="20"/>
                <w:u w:val="single"/>
              </w:rPr>
              <w:t>Personal Finance</w:t>
            </w:r>
          </w:p>
          <w:p w:rsidR="00AE340F" w:rsidRPr="005A17B3" w:rsidRDefault="00AE340F" w:rsidP="00AE340F">
            <w:pPr>
              <w:pStyle w:val="Default"/>
              <w:rPr>
                <w:rFonts w:ascii="Tahoma" w:hAnsi="Tahoma" w:cs="Tahoma"/>
                <w:sz w:val="20"/>
                <w:szCs w:val="20"/>
              </w:rPr>
            </w:pPr>
          </w:p>
          <w:p w:rsidR="00CE6251" w:rsidRPr="00CE6251" w:rsidRDefault="00CE6251" w:rsidP="00CE6251">
            <w:pPr>
              <w:pStyle w:val="Heading3"/>
              <w:outlineLvl w:val="2"/>
              <w:rPr>
                <w:rFonts w:ascii="Tahoma" w:hAnsi="Tahoma" w:cs="Tahoma"/>
                <w:color w:val="auto"/>
                <w:sz w:val="20"/>
                <w:szCs w:val="20"/>
              </w:rPr>
            </w:pPr>
            <w:r w:rsidRPr="00CE6251">
              <w:rPr>
                <w:rFonts w:ascii="Tahoma" w:hAnsi="Tahoma" w:cs="Tahoma"/>
                <w:bCs/>
                <w:color w:val="auto"/>
                <w:sz w:val="20"/>
                <w:szCs w:val="20"/>
              </w:rPr>
              <w:t>Credit &amp; Benefits</w:t>
            </w:r>
          </w:p>
          <w:p w:rsidR="00CE6251" w:rsidRPr="00CE6251" w:rsidRDefault="00CE6251" w:rsidP="00CE6251">
            <w:pPr>
              <w:pStyle w:val="Compact"/>
              <w:rPr>
                <w:rFonts w:ascii="Tahoma" w:hAnsi="Tahoma" w:cs="Tahoma"/>
                <w:sz w:val="20"/>
                <w:szCs w:val="20"/>
              </w:rPr>
            </w:pPr>
            <w:r>
              <w:rPr>
                <w:rFonts w:ascii="Tahoma" w:hAnsi="Tahoma" w:cs="Tahoma"/>
                <w:sz w:val="20"/>
                <w:szCs w:val="20"/>
              </w:rPr>
              <w:t xml:space="preserve">- </w:t>
            </w:r>
            <w:r w:rsidRPr="00CE6251">
              <w:rPr>
                <w:rFonts w:ascii="Tahoma" w:hAnsi="Tahoma" w:cs="Tahoma"/>
                <w:sz w:val="20"/>
                <w:szCs w:val="20"/>
              </w:rPr>
              <w:t>Buying on credit</w:t>
            </w:r>
            <w:r w:rsidR="00317243">
              <w:rPr>
                <w:rFonts w:ascii="Tahoma" w:hAnsi="Tahoma" w:cs="Tahoma"/>
                <w:sz w:val="20"/>
                <w:szCs w:val="20"/>
              </w:rPr>
              <w:t xml:space="preserve">: </w:t>
            </w:r>
            <w:r w:rsidRPr="00CE6251">
              <w:rPr>
                <w:rFonts w:ascii="Tahoma" w:hAnsi="Tahoma" w:cs="Tahoma"/>
                <w:sz w:val="20"/>
                <w:szCs w:val="20"/>
              </w:rPr>
              <w:t>risks and implications</w:t>
            </w:r>
            <w:r w:rsidRPr="00CE6251">
              <w:rPr>
                <w:rFonts w:ascii="Tahoma" w:hAnsi="Tahoma" w:cs="Tahoma"/>
                <w:sz w:val="20"/>
                <w:szCs w:val="20"/>
              </w:rPr>
              <w:br/>
            </w:r>
          </w:p>
          <w:p w:rsidR="00CE6251" w:rsidRPr="00CE6251" w:rsidRDefault="00CE6251" w:rsidP="00CE6251">
            <w:pPr>
              <w:pStyle w:val="Compact"/>
              <w:rPr>
                <w:rFonts w:ascii="Tahoma" w:hAnsi="Tahoma" w:cs="Tahoma"/>
                <w:sz w:val="20"/>
                <w:szCs w:val="20"/>
              </w:rPr>
            </w:pPr>
            <w:r>
              <w:rPr>
                <w:rFonts w:ascii="Tahoma" w:hAnsi="Tahoma" w:cs="Tahoma"/>
                <w:sz w:val="20"/>
                <w:szCs w:val="20"/>
              </w:rPr>
              <w:t xml:space="preserve">- </w:t>
            </w:r>
            <w:r w:rsidRPr="00CE6251">
              <w:rPr>
                <w:rFonts w:ascii="Tahoma" w:hAnsi="Tahoma" w:cs="Tahoma"/>
                <w:sz w:val="20"/>
                <w:szCs w:val="20"/>
              </w:rPr>
              <w:t>State benefits and allowances</w:t>
            </w:r>
          </w:p>
          <w:p w:rsidR="00306755" w:rsidRPr="005A17B3" w:rsidRDefault="00306755" w:rsidP="00306755">
            <w:pPr>
              <w:pStyle w:val="Default"/>
              <w:rPr>
                <w:rFonts w:ascii="Tahoma" w:hAnsi="Tahoma" w:cs="Tahoma"/>
                <w:sz w:val="20"/>
                <w:szCs w:val="20"/>
              </w:rPr>
            </w:pPr>
          </w:p>
        </w:tc>
      </w:tr>
      <w:tr w:rsidR="00AE340F" w:rsidRPr="00F15B36" w:rsidTr="00AE340F">
        <w:tc>
          <w:tcPr>
            <w:tcW w:w="13948" w:type="dxa"/>
            <w:gridSpan w:val="6"/>
          </w:tcPr>
          <w:p w:rsidR="00AE340F" w:rsidRPr="005A17B3" w:rsidRDefault="00AE340F" w:rsidP="00AE340F">
            <w:pPr>
              <w:rPr>
                <w:rFonts w:ascii="Tahoma" w:hAnsi="Tahoma" w:cs="Tahoma"/>
                <w:sz w:val="20"/>
                <w:szCs w:val="20"/>
              </w:rPr>
            </w:pPr>
            <w:r w:rsidRPr="005A17B3">
              <w:rPr>
                <w:rFonts w:ascii="Tahoma" w:hAnsi="Tahoma" w:cs="Tahoma"/>
                <w:sz w:val="20"/>
                <w:szCs w:val="20"/>
              </w:rPr>
              <w:t>Students will be assessed on their knowledge and skills demonstrating their ability to meet the learner outcomes set out in the AQA PSHE Unit Award. All student evidence will be marked by the teacher and feedback provided before being submitted to the AQA exam board for accreditation.</w:t>
            </w:r>
            <w:r w:rsidR="00856DFA" w:rsidRPr="005A17B3">
              <w:rPr>
                <w:rFonts w:ascii="Tahoma" w:hAnsi="Tahoma" w:cs="Tahoma"/>
                <w:sz w:val="20"/>
                <w:szCs w:val="20"/>
              </w:rPr>
              <w:t xml:space="preserve"> </w:t>
            </w:r>
            <w:r w:rsidRPr="005A17B3">
              <w:rPr>
                <w:rFonts w:ascii="Tahoma" w:hAnsi="Tahoma" w:cs="Tahoma"/>
                <w:sz w:val="20"/>
                <w:szCs w:val="20"/>
              </w:rPr>
              <w:t xml:space="preserve">Learners will receive a certificate every time they complete a PSHE Unit Award.  </w:t>
            </w:r>
          </w:p>
        </w:tc>
      </w:tr>
    </w:tbl>
    <w:p w:rsidR="00A71F8B" w:rsidRDefault="00F01A6C" w:rsidP="00F15B36"/>
    <w:sectPr w:rsidR="00A71F8B" w:rsidSect="003375B7">
      <w:headerReference w:type="default" r:id="rId7"/>
      <w:pgSz w:w="16838" w:h="11906" w:orient="landscape"/>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A6C" w:rsidRDefault="00F01A6C" w:rsidP="00E4785E">
      <w:pPr>
        <w:spacing w:after="0" w:line="240" w:lineRule="auto"/>
      </w:pPr>
      <w:r>
        <w:separator/>
      </w:r>
    </w:p>
  </w:endnote>
  <w:endnote w:type="continuationSeparator" w:id="0">
    <w:p w:rsidR="00F01A6C" w:rsidRDefault="00F01A6C"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A6C" w:rsidRDefault="00F01A6C" w:rsidP="00E4785E">
      <w:pPr>
        <w:spacing w:after="0" w:line="240" w:lineRule="auto"/>
      </w:pPr>
      <w:r>
        <w:separator/>
      </w:r>
    </w:p>
  </w:footnote>
  <w:footnote w:type="continuationSeparator" w:id="0">
    <w:p w:rsidR="00F01A6C" w:rsidRDefault="00F01A6C"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5E" w:rsidRDefault="00E4785E" w:rsidP="00E4785E">
    <w:pPr>
      <w:pStyle w:val="Header"/>
      <w:jc w:val="center"/>
      <w:rPr>
        <w:rFonts w:ascii="Tahoma" w:hAnsi="Tahoma" w:cs="Tahoma"/>
        <w:sz w:val="28"/>
        <w:szCs w:val="28"/>
      </w:rPr>
    </w:pPr>
    <w:r w:rsidRPr="00E4785E">
      <w:rPr>
        <w:rFonts w:ascii="Tahoma" w:hAnsi="Tahoma" w:cs="Tahoma"/>
        <w:sz w:val="28"/>
        <w:szCs w:val="28"/>
      </w:rPr>
      <w:t>Curriculum Overview</w:t>
    </w:r>
  </w:p>
  <w:p w:rsidR="00E4785E" w:rsidRPr="00E4785E" w:rsidRDefault="00E4785E" w:rsidP="00E4785E">
    <w:pPr>
      <w:pStyle w:val="Header"/>
      <w:jc w:val="center"/>
      <w:rPr>
        <w:rFonts w:ascii="Tahoma" w:hAnsi="Tahoma" w:cs="Tahoma"/>
        <w:sz w:val="28"/>
        <w:szCs w:val="28"/>
      </w:rPr>
    </w:pPr>
  </w:p>
  <w:p w:rsidR="00E4785E" w:rsidRPr="00E4785E" w:rsidRDefault="00E4785E" w:rsidP="00E4785E">
    <w:pPr>
      <w:pStyle w:val="Header"/>
      <w:jc w:val="center"/>
      <w:rPr>
        <w:rFonts w:ascii="Tahoma" w:hAnsi="Tahoma" w:cs="Tahoma"/>
        <w:sz w:val="28"/>
        <w:szCs w:val="28"/>
      </w:rPr>
    </w:pPr>
    <w:r w:rsidRPr="00E4785E">
      <w:rPr>
        <w:rFonts w:ascii="Tahoma" w:hAnsi="Tahoma" w:cs="Tahoma"/>
        <w:sz w:val="28"/>
        <w:szCs w:val="28"/>
      </w:rPr>
      <w:t>S</w:t>
    </w:r>
    <w:r w:rsidR="000F6C9C">
      <w:rPr>
        <w:rFonts w:ascii="Tahoma" w:hAnsi="Tahoma" w:cs="Tahoma"/>
        <w:sz w:val="28"/>
        <w:szCs w:val="28"/>
      </w:rPr>
      <w:t>ummer</w:t>
    </w:r>
    <w:r w:rsidR="00DC7290">
      <w:rPr>
        <w:rFonts w:ascii="Tahoma" w:hAnsi="Tahoma" w:cs="Tahoma"/>
        <w:sz w:val="28"/>
        <w:szCs w:val="28"/>
      </w:rPr>
      <w:t xml:space="preserve"> </w:t>
    </w:r>
    <w:r w:rsidRPr="00E4785E">
      <w:rPr>
        <w:rFonts w:ascii="Tahoma" w:hAnsi="Tahoma" w:cs="Tahoma"/>
        <w:sz w:val="28"/>
        <w:szCs w:val="28"/>
      </w:rPr>
      <w:t xml:space="preserve">Term – Half Term </w:t>
    </w:r>
    <w:r w:rsidR="000F6C9C">
      <w:rPr>
        <w:rFonts w:ascii="Tahoma" w:hAnsi="Tahoma" w:cs="Tahoma"/>
        <w:sz w:val="28"/>
        <w:szCs w:val="28"/>
      </w:rPr>
      <w:t>1</w:t>
    </w:r>
    <w:r w:rsidRPr="00E4785E">
      <w:rPr>
        <w:rFonts w:ascii="Tahoma" w:hAnsi="Tahoma" w:cs="Tahoma"/>
        <w:sz w:val="28"/>
        <w:szCs w:val="28"/>
      </w:rPr>
      <w:t xml:space="preserve"> – (</w:t>
    </w:r>
    <w:r w:rsidR="0052160A">
      <w:rPr>
        <w:rFonts w:ascii="Tahoma" w:hAnsi="Tahoma" w:cs="Tahoma"/>
        <w:sz w:val="28"/>
        <w:szCs w:val="28"/>
      </w:rPr>
      <w:t>PSHE</w:t>
    </w:r>
    <w:r w:rsidRPr="00E4785E">
      <w:rPr>
        <w:rFonts w:ascii="Tahoma" w:hAnsi="Tahoma" w:cs="Tahoma"/>
        <w:sz w:val="28"/>
        <w:szCs w:val="28"/>
      </w:rPr>
      <w:t>)</w:t>
    </w:r>
  </w:p>
  <w:p w:rsidR="00E4785E" w:rsidRDefault="00E47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34F27B1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1157D0A"/>
    <w:multiLevelType w:val="hybridMultilevel"/>
    <w:tmpl w:val="E144AC12"/>
    <w:lvl w:ilvl="0" w:tplc="05C46AC8">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27EE7"/>
    <w:multiLevelType w:val="hybridMultilevel"/>
    <w:tmpl w:val="3B44EA8C"/>
    <w:lvl w:ilvl="0" w:tplc="0F188072">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75436"/>
    <w:multiLevelType w:val="hybridMultilevel"/>
    <w:tmpl w:val="2EEC5DBC"/>
    <w:lvl w:ilvl="0" w:tplc="A4F0F99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E4C0E"/>
    <w:multiLevelType w:val="hybridMultilevel"/>
    <w:tmpl w:val="7EB2D55E"/>
    <w:lvl w:ilvl="0" w:tplc="23AA79C8">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05158"/>
    <w:multiLevelType w:val="hybridMultilevel"/>
    <w:tmpl w:val="9FBC61BE"/>
    <w:lvl w:ilvl="0" w:tplc="BC720992">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DF7B58"/>
    <w:multiLevelType w:val="hybridMultilevel"/>
    <w:tmpl w:val="4902680E"/>
    <w:lvl w:ilvl="0" w:tplc="65B2CE40">
      <w:start w:val="1"/>
      <w:numFmt w:val="lowerLetter"/>
      <w:lvlText w:val="%1)"/>
      <w:lvlJc w:val="left"/>
      <w:pPr>
        <w:ind w:left="511" w:hanging="361"/>
      </w:pPr>
      <w:rPr>
        <w:rFonts w:ascii="Comic Sans MS" w:eastAsia="Comic Sans MS" w:hAnsi="Comic Sans MS" w:cs="Comic Sans MS" w:hint="default"/>
        <w:spacing w:val="-2"/>
        <w:w w:val="99"/>
        <w:sz w:val="20"/>
        <w:szCs w:val="20"/>
        <w:lang w:val="en-US" w:eastAsia="en-US" w:bidi="en-US"/>
      </w:rPr>
    </w:lvl>
    <w:lvl w:ilvl="1" w:tplc="0E64543E">
      <w:numFmt w:val="bullet"/>
      <w:lvlText w:val="•"/>
      <w:lvlJc w:val="left"/>
      <w:pPr>
        <w:ind w:left="1007" w:hanging="361"/>
      </w:pPr>
      <w:rPr>
        <w:rFonts w:hint="default"/>
        <w:lang w:val="en-US" w:eastAsia="en-US" w:bidi="en-US"/>
      </w:rPr>
    </w:lvl>
    <w:lvl w:ilvl="2" w:tplc="469E9856">
      <w:numFmt w:val="bullet"/>
      <w:lvlText w:val="•"/>
      <w:lvlJc w:val="left"/>
      <w:pPr>
        <w:ind w:left="1495" w:hanging="361"/>
      </w:pPr>
      <w:rPr>
        <w:rFonts w:hint="default"/>
        <w:lang w:val="en-US" w:eastAsia="en-US" w:bidi="en-US"/>
      </w:rPr>
    </w:lvl>
    <w:lvl w:ilvl="3" w:tplc="841EFF00">
      <w:numFmt w:val="bullet"/>
      <w:lvlText w:val="•"/>
      <w:lvlJc w:val="left"/>
      <w:pPr>
        <w:ind w:left="1982" w:hanging="361"/>
      </w:pPr>
      <w:rPr>
        <w:rFonts w:hint="default"/>
        <w:lang w:val="en-US" w:eastAsia="en-US" w:bidi="en-US"/>
      </w:rPr>
    </w:lvl>
    <w:lvl w:ilvl="4" w:tplc="3D926DE2">
      <w:numFmt w:val="bullet"/>
      <w:lvlText w:val="•"/>
      <w:lvlJc w:val="left"/>
      <w:pPr>
        <w:ind w:left="2470" w:hanging="361"/>
      </w:pPr>
      <w:rPr>
        <w:rFonts w:hint="default"/>
        <w:lang w:val="en-US" w:eastAsia="en-US" w:bidi="en-US"/>
      </w:rPr>
    </w:lvl>
    <w:lvl w:ilvl="5" w:tplc="F2FA2420">
      <w:numFmt w:val="bullet"/>
      <w:lvlText w:val="•"/>
      <w:lvlJc w:val="left"/>
      <w:pPr>
        <w:ind w:left="2957" w:hanging="361"/>
      </w:pPr>
      <w:rPr>
        <w:rFonts w:hint="default"/>
        <w:lang w:val="en-US" w:eastAsia="en-US" w:bidi="en-US"/>
      </w:rPr>
    </w:lvl>
    <w:lvl w:ilvl="6" w:tplc="4B36DB02">
      <w:numFmt w:val="bullet"/>
      <w:lvlText w:val="•"/>
      <w:lvlJc w:val="left"/>
      <w:pPr>
        <w:ind w:left="3445" w:hanging="361"/>
      </w:pPr>
      <w:rPr>
        <w:rFonts w:hint="default"/>
        <w:lang w:val="en-US" w:eastAsia="en-US" w:bidi="en-US"/>
      </w:rPr>
    </w:lvl>
    <w:lvl w:ilvl="7" w:tplc="801E9952">
      <w:numFmt w:val="bullet"/>
      <w:lvlText w:val="•"/>
      <w:lvlJc w:val="left"/>
      <w:pPr>
        <w:ind w:left="3932" w:hanging="361"/>
      </w:pPr>
      <w:rPr>
        <w:rFonts w:hint="default"/>
        <w:lang w:val="en-US" w:eastAsia="en-US" w:bidi="en-US"/>
      </w:rPr>
    </w:lvl>
    <w:lvl w:ilvl="8" w:tplc="601C681A">
      <w:numFmt w:val="bullet"/>
      <w:lvlText w:val="•"/>
      <w:lvlJc w:val="left"/>
      <w:pPr>
        <w:ind w:left="4420" w:hanging="361"/>
      </w:pPr>
      <w:rPr>
        <w:rFonts w:hint="default"/>
        <w:lang w:val="en-US" w:eastAsia="en-US" w:bidi="en-US"/>
      </w:r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25760"/>
    <w:rsid w:val="000564D4"/>
    <w:rsid w:val="000777A8"/>
    <w:rsid w:val="000B55C0"/>
    <w:rsid w:val="000F6C9C"/>
    <w:rsid w:val="00146D3A"/>
    <w:rsid w:val="00152AFD"/>
    <w:rsid w:val="00156147"/>
    <w:rsid w:val="001B349F"/>
    <w:rsid w:val="001E0DC7"/>
    <w:rsid w:val="00225619"/>
    <w:rsid w:val="00243D34"/>
    <w:rsid w:val="002B77E5"/>
    <w:rsid w:val="002C4F5A"/>
    <w:rsid w:val="00306755"/>
    <w:rsid w:val="00317243"/>
    <w:rsid w:val="003375B7"/>
    <w:rsid w:val="003B17CD"/>
    <w:rsid w:val="00413DBF"/>
    <w:rsid w:val="004409C3"/>
    <w:rsid w:val="00470CAA"/>
    <w:rsid w:val="004775BD"/>
    <w:rsid w:val="00481214"/>
    <w:rsid w:val="0052160A"/>
    <w:rsid w:val="0057709E"/>
    <w:rsid w:val="005A17B3"/>
    <w:rsid w:val="006370CA"/>
    <w:rsid w:val="00651C42"/>
    <w:rsid w:val="00702A58"/>
    <w:rsid w:val="007605EF"/>
    <w:rsid w:val="0077785D"/>
    <w:rsid w:val="0079106B"/>
    <w:rsid w:val="007A2BF5"/>
    <w:rsid w:val="007C0F9B"/>
    <w:rsid w:val="007D6661"/>
    <w:rsid w:val="007E4771"/>
    <w:rsid w:val="00805A99"/>
    <w:rsid w:val="0083727B"/>
    <w:rsid w:val="00856DFA"/>
    <w:rsid w:val="008C2562"/>
    <w:rsid w:val="008F0600"/>
    <w:rsid w:val="00901AB2"/>
    <w:rsid w:val="00935BBE"/>
    <w:rsid w:val="009639E5"/>
    <w:rsid w:val="00983701"/>
    <w:rsid w:val="00983D1E"/>
    <w:rsid w:val="009D384A"/>
    <w:rsid w:val="00A71177"/>
    <w:rsid w:val="00A96D4C"/>
    <w:rsid w:val="00AE340F"/>
    <w:rsid w:val="00B43943"/>
    <w:rsid w:val="00B477DF"/>
    <w:rsid w:val="00B578A8"/>
    <w:rsid w:val="00BA495E"/>
    <w:rsid w:val="00BF2B29"/>
    <w:rsid w:val="00CB2566"/>
    <w:rsid w:val="00CE6251"/>
    <w:rsid w:val="00CF016F"/>
    <w:rsid w:val="00D04419"/>
    <w:rsid w:val="00D33402"/>
    <w:rsid w:val="00D90AB3"/>
    <w:rsid w:val="00DC7290"/>
    <w:rsid w:val="00E16E42"/>
    <w:rsid w:val="00E35B28"/>
    <w:rsid w:val="00E4785E"/>
    <w:rsid w:val="00E63186"/>
    <w:rsid w:val="00EA2519"/>
    <w:rsid w:val="00EA6E86"/>
    <w:rsid w:val="00EB5AE7"/>
    <w:rsid w:val="00F011CF"/>
    <w:rsid w:val="00F01A6C"/>
    <w:rsid w:val="00F15B36"/>
    <w:rsid w:val="00F66C77"/>
    <w:rsid w:val="00FF340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5A17B3"/>
    <w:pPr>
      <w:keepNext/>
      <w:keepLines/>
      <w:spacing w:before="160" w:after="80" w:line="240" w:lineRule="auto"/>
      <w:outlineLvl w:val="2"/>
    </w:pPr>
    <w:rPr>
      <w:rFonts w:eastAsiaTheme="majorEastAsia"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paragraph" w:styleId="NoSpacing">
    <w:name w:val="No Spacing"/>
    <w:uiPriority w:val="1"/>
    <w:qFormat/>
    <w:rsid w:val="00FF75FA"/>
    <w:pPr>
      <w:spacing w:after="0" w:line="240" w:lineRule="auto"/>
    </w:pPr>
  </w:style>
  <w:style w:type="paragraph" w:styleId="ListParagraph">
    <w:name w:val="List Paragraph"/>
    <w:basedOn w:val="Normal"/>
    <w:uiPriority w:val="34"/>
    <w:qFormat/>
    <w:rsid w:val="0077785D"/>
    <w:pPr>
      <w:spacing w:after="0" w:line="240" w:lineRule="auto"/>
      <w:ind w:left="720"/>
      <w:contextualSpacing/>
    </w:pPr>
    <w:rPr>
      <w:sz w:val="24"/>
      <w:szCs w:val="24"/>
    </w:rPr>
  </w:style>
  <w:style w:type="paragraph" w:customStyle="1" w:styleId="Default">
    <w:name w:val="Default"/>
    <w:rsid w:val="00BA495E"/>
    <w:pPr>
      <w:autoSpaceDE w:val="0"/>
      <w:autoSpaceDN w:val="0"/>
      <w:adjustRightInd w:val="0"/>
      <w:spacing w:after="0" w:line="240" w:lineRule="auto"/>
    </w:pPr>
    <w:rPr>
      <w:rFonts w:ascii="Garamond" w:eastAsia="Times New Roman" w:hAnsi="Garamond" w:cs="Garamond"/>
      <w:color w:val="000000"/>
      <w:sz w:val="24"/>
      <w:szCs w:val="24"/>
      <w:lang w:eastAsia="en-GB"/>
    </w:rPr>
  </w:style>
  <w:style w:type="paragraph" w:customStyle="1" w:styleId="TableParagraph">
    <w:name w:val="Table Paragraph"/>
    <w:basedOn w:val="Normal"/>
    <w:uiPriority w:val="1"/>
    <w:qFormat/>
    <w:rsid w:val="007605EF"/>
    <w:pPr>
      <w:widowControl w:val="0"/>
      <w:autoSpaceDE w:val="0"/>
      <w:autoSpaceDN w:val="0"/>
      <w:spacing w:after="0" w:line="240" w:lineRule="auto"/>
      <w:ind w:left="150"/>
    </w:pPr>
    <w:rPr>
      <w:rFonts w:ascii="Comic Sans MS" w:eastAsia="Comic Sans MS" w:hAnsi="Comic Sans MS" w:cs="Comic Sans MS"/>
      <w:lang w:bidi="en-US"/>
    </w:rPr>
  </w:style>
  <w:style w:type="character" w:customStyle="1" w:styleId="Heading3Char">
    <w:name w:val="Heading 3 Char"/>
    <w:basedOn w:val="DefaultParagraphFont"/>
    <w:link w:val="Heading3"/>
    <w:uiPriority w:val="9"/>
    <w:semiHidden/>
    <w:rsid w:val="005A17B3"/>
    <w:rPr>
      <w:rFonts w:eastAsiaTheme="majorEastAsia" w:cstheme="majorBidi"/>
      <w:color w:val="2F5496" w:themeColor="accent1" w:themeShade="BF"/>
      <w:sz w:val="28"/>
      <w:szCs w:val="28"/>
      <w:lang w:val="en-US"/>
    </w:rPr>
  </w:style>
  <w:style w:type="paragraph" w:customStyle="1" w:styleId="Compact">
    <w:name w:val="Compact"/>
    <w:basedOn w:val="BodyText"/>
    <w:qFormat/>
    <w:rsid w:val="005A17B3"/>
    <w:pPr>
      <w:spacing w:before="36" w:after="36" w:line="240" w:lineRule="auto"/>
    </w:pPr>
    <w:rPr>
      <w:sz w:val="24"/>
      <w:szCs w:val="24"/>
      <w:lang w:val="en-US"/>
    </w:rPr>
  </w:style>
  <w:style w:type="paragraph" w:styleId="BodyText">
    <w:name w:val="Body Text"/>
    <w:basedOn w:val="Normal"/>
    <w:link w:val="BodyTextChar"/>
    <w:uiPriority w:val="99"/>
    <w:semiHidden/>
    <w:unhideWhenUsed/>
    <w:rsid w:val="005A17B3"/>
    <w:pPr>
      <w:spacing w:after="120"/>
    </w:pPr>
  </w:style>
  <w:style w:type="character" w:customStyle="1" w:styleId="BodyTextChar">
    <w:name w:val="Body Text Char"/>
    <w:basedOn w:val="DefaultParagraphFont"/>
    <w:link w:val="BodyText"/>
    <w:uiPriority w:val="99"/>
    <w:semiHidden/>
    <w:rsid w:val="005A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41022">
      <w:bodyDiv w:val="1"/>
      <w:marLeft w:val="0"/>
      <w:marRight w:val="0"/>
      <w:marTop w:val="0"/>
      <w:marBottom w:val="0"/>
      <w:divBdr>
        <w:top w:val="none" w:sz="0" w:space="0" w:color="auto"/>
        <w:left w:val="none" w:sz="0" w:space="0" w:color="auto"/>
        <w:bottom w:val="none" w:sz="0" w:space="0" w:color="auto"/>
        <w:right w:val="none" w:sz="0" w:space="0" w:color="auto"/>
      </w:divBdr>
    </w:div>
    <w:div w:id="1204756194">
      <w:bodyDiv w:val="1"/>
      <w:marLeft w:val="0"/>
      <w:marRight w:val="0"/>
      <w:marTop w:val="0"/>
      <w:marBottom w:val="0"/>
      <w:divBdr>
        <w:top w:val="none" w:sz="0" w:space="0" w:color="auto"/>
        <w:left w:val="none" w:sz="0" w:space="0" w:color="auto"/>
        <w:bottom w:val="none" w:sz="0" w:space="0" w:color="auto"/>
        <w:right w:val="none" w:sz="0" w:space="0" w:color="auto"/>
      </w:divBdr>
    </w:div>
    <w:div w:id="1319769165">
      <w:bodyDiv w:val="1"/>
      <w:marLeft w:val="0"/>
      <w:marRight w:val="0"/>
      <w:marTop w:val="0"/>
      <w:marBottom w:val="0"/>
      <w:divBdr>
        <w:top w:val="none" w:sz="0" w:space="0" w:color="auto"/>
        <w:left w:val="none" w:sz="0" w:space="0" w:color="auto"/>
        <w:bottom w:val="none" w:sz="0" w:space="0" w:color="auto"/>
        <w:right w:val="none" w:sz="0" w:space="0" w:color="auto"/>
      </w:divBdr>
    </w:div>
    <w:div w:id="20906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Stuart Fink</cp:lastModifiedBy>
  <cp:revision>2</cp:revision>
  <dcterms:created xsi:type="dcterms:W3CDTF">2026-04-14T06:58:00Z</dcterms:created>
  <dcterms:modified xsi:type="dcterms:W3CDTF">2026-04-14T06:58:00Z</dcterms:modified>
</cp:coreProperties>
</file>